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114E" w:rsidRDefault="005404DA">
      <w:pPr>
        <w:pStyle w:val="1"/>
        <w:shd w:val="clear" w:color="auto" w:fill="auto"/>
        <w:ind w:firstLine="0"/>
        <w:jc w:val="center"/>
      </w:pPr>
      <w:r>
        <w:t>ЗВЕРНЕННЯ</w:t>
      </w:r>
    </w:p>
    <w:p w:rsidR="000D114E" w:rsidRDefault="005404DA">
      <w:pPr>
        <w:pStyle w:val="1"/>
        <w:shd w:val="clear" w:color="auto" w:fill="auto"/>
        <w:ind w:firstLine="0"/>
        <w:jc w:val="center"/>
      </w:pPr>
      <w:r>
        <w:t>Харківської міської ради</w:t>
      </w:r>
    </w:p>
    <w:p w:rsidR="000D114E" w:rsidRDefault="005404DA">
      <w:pPr>
        <w:pStyle w:val="1"/>
        <w:shd w:val="clear" w:color="auto" w:fill="auto"/>
        <w:spacing w:after="300"/>
        <w:ind w:firstLine="0"/>
        <w:jc w:val="center"/>
      </w:pPr>
      <w:r>
        <w:t>до Прем'єр-міністра України Гончарука О.В.</w:t>
      </w:r>
    </w:p>
    <w:p w:rsidR="000D114E" w:rsidRDefault="005404DA">
      <w:pPr>
        <w:pStyle w:val="1"/>
        <w:shd w:val="clear" w:color="auto" w:fill="auto"/>
        <w:spacing w:after="300"/>
        <w:ind w:firstLine="0"/>
        <w:jc w:val="center"/>
      </w:pPr>
      <w:r>
        <w:t>Вельмишановний Олексію Валерійовичу!</w:t>
      </w:r>
    </w:p>
    <w:p w:rsidR="000D114E" w:rsidRDefault="005404DA">
      <w:pPr>
        <w:pStyle w:val="1"/>
        <w:shd w:val="clear" w:color="auto" w:fill="auto"/>
        <w:ind w:firstLine="580"/>
        <w:jc w:val="both"/>
      </w:pPr>
      <w:r>
        <w:t xml:space="preserve">Депутати </w:t>
      </w:r>
      <w:r>
        <w:t>Харківської міської ради занепокоєні ситуацією, що склалася на одному з найбільших теплопостачальних підприємств України - комунальному підприємстві «Харківські теплові мережі».</w:t>
      </w:r>
    </w:p>
    <w:p w:rsidR="000D114E" w:rsidRDefault="005404DA">
      <w:pPr>
        <w:pStyle w:val="1"/>
        <w:shd w:val="clear" w:color="auto" w:fill="auto"/>
        <w:ind w:firstLine="580"/>
        <w:jc w:val="both"/>
      </w:pPr>
      <w:r>
        <w:t xml:space="preserve">З метою забезпечення сталої роботи КП «Харківські теплові мережі» Харківською </w:t>
      </w:r>
      <w:r>
        <w:t>міською радою у 2018-2019 рр. з бюджету міста Харкова комунальному підприємству направлено кошти: на фінансову підтримку в розмірі 554,5 млн грн, на реконструкцію теплових мереж - 61,9 млн грн, на придбання спецтехніки - 104,5 млн грн. Також комунальним пі</w:t>
      </w:r>
      <w:r>
        <w:t xml:space="preserve">дприємством було отримано ряд стабілізаційних кредитів. Крім того, Харківська міська рада виступала гарантом виконання КП «Харківські теплові мережі» зобов’язань перед НАК </w:t>
      </w:r>
      <w:r>
        <w:rPr>
          <w:lang w:val="ru-RU" w:eastAsia="ru-RU" w:bidi="ru-RU"/>
        </w:rPr>
        <w:t xml:space="preserve">«Нафтогаз </w:t>
      </w:r>
      <w:r>
        <w:t>України» та ДК «Газ України» на суму заборгованості за договорами про рест</w:t>
      </w:r>
      <w:r>
        <w:t xml:space="preserve">руктуризацію заборгованості за спожитий природний газ. На жаль, на цей час фінансовий стан КП «Харківські теплові мережі» не покращується, а значно </w:t>
      </w:r>
      <w:proofErr w:type="spellStart"/>
      <w:r>
        <w:t>ускладн</w:t>
      </w:r>
      <w:bookmarkStart w:id="0" w:name="_GoBack"/>
      <w:bookmarkEnd w:id="0"/>
      <w:r>
        <w:t>юється</w:t>
      </w:r>
      <w:proofErr w:type="spellEnd"/>
      <w:r>
        <w:t>.</w:t>
      </w:r>
    </w:p>
    <w:p w:rsidR="000D114E" w:rsidRDefault="005404DA">
      <w:pPr>
        <w:pStyle w:val="1"/>
        <w:shd w:val="clear" w:color="auto" w:fill="auto"/>
        <w:ind w:firstLine="580"/>
        <w:jc w:val="both"/>
      </w:pPr>
      <w:r>
        <w:t>Це обумовлено дією Порядку розподілу коштів, що надходять на поточні рахунки із спеціальним р</w:t>
      </w:r>
      <w:r>
        <w:t>ежимом використання для проведення розрахунків з постачальником природного газу, на якого покладено спеціальні обов’язки, затвердженого постановою Кабінету Міністрів України від 18.06.2014 № 217 (далі - Порядок розподілу коштів), який обмежує можливості те</w:t>
      </w:r>
      <w:r>
        <w:t>плопостачальних підприємств щодо здійснення своєї фінансово-економічної діяльності самостійно.</w:t>
      </w:r>
    </w:p>
    <w:p w:rsidR="000D114E" w:rsidRDefault="005404DA">
      <w:pPr>
        <w:pStyle w:val="1"/>
        <w:shd w:val="clear" w:color="auto" w:fill="auto"/>
        <w:ind w:firstLine="580"/>
        <w:jc w:val="both"/>
      </w:pPr>
      <w:r>
        <w:t xml:space="preserve">Відповідно до Порядку розподілу коштів пріоритетними є оплата за спожитий газ, а вже потім виплата заробітної плати та сплата податків, які є першочерговими </w:t>
      </w:r>
      <w:proofErr w:type="spellStart"/>
      <w:r>
        <w:t>плат</w:t>
      </w:r>
      <w:r>
        <w:t>ежами</w:t>
      </w:r>
      <w:proofErr w:type="spellEnd"/>
      <w:r>
        <w:t xml:space="preserve"> згідно із Законом України «Про оплату праці» та Податковим кодексом України.</w:t>
      </w:r>
    </w:p>
    <w:p w:rsidR="000D114E" w:rsidRDefault="005404DA">
      <w:pPr>
        <w:pStyle w:val="1"/>
        <w:shd w:val="clear" w:color="auto" w:fill="auto"/>
        <w:spacing w:after="300"/>
        <w:ind w:firstLine="580"/>
        <w:jc w:val="both"/>
      </w:pPr>
      <w:r>
        <w:t xml:space="preserve">Норми Порядку розподілу коштів передбачають розподіл надходжень від споживачів відповідно до відсотків, затверджених Національною комісією, що здійснює державне регулювання </w:t>
      </w:r>
      <w:r>
        <w:t xml:space="preserve">у сферах енергетики та комунальних послуг. При цьому при визначенні нормативу відрахувань на користь НАК </w:t>
      </w:r>
      <w:r>
        <w:rPr>
          <w:lang w:val="ru-RU" w:eastAsia="ru-RU" w:bidi="ru-RU"/>
        </w:rPr>
        <w:t xml:space="preserve">«Нафтогаз </w:t>
      </w:r>
      <w:r>
        <w:t>України» (п. 20 Порядку розподілу коштів) застосовується коефіцієнт рівня розрахунків за договорами купівлі-продажу (постачання) природного г</w:t>
      </w:r>
      <w:r>
        <w:t>азу з постачальником природного газу із спеціальними обов’язками (так званий коригуючий коефіцієнт).</w:t>
      </w:r>
    </w:p>
    <w:p w:rsidR="000D114E" w:rsidRDefault="005404DA">
      <w:pPr>
        <w:pStyle w:val="1"/>
        <w:shd w:val="clear" w:color="auto" w:fill="auto"/>
        <w:ind w:firstLine="600"/>
        <w:jc w:val="both"/>
      </w:pPr>
      <w:r>
        <w:t xml:space="preserve">Результатом застосування коригуючого коефіцієнту є збільшення відрахувань з розподільчого рахунку на користь НАК </w:t>
      </w:r>
      <w:r>
        <w:rPr>
          <w:lang w:val="ru-RU" w:eastAsia="ru-RU" w:bidi="ru-RU"/>
        </w:rPr>
        <w:t xml:space="preserve">«Нафтогаз </w:t>
      </w:r>
      <w:r>
        <w:t xml:space="preserve">України». Таким чином, покриття </w:t>
      </w:r>
      <w:r>
        <w:t>суми недоплат споживачів теплової енергії відбувається лише за рахунок теплопостачальних підприємств. Вирішення всіх проблем, пов’язаних із низькою платоспроможністю населення (питома вага якого в структурі споживачів становить більше 87 %) та несвоєчасною</w:t>
      </w:r>
      <w:r>
        <w:t xml:space="preserve"> сплатою за теплову енергію, спожиту бюджетними установами, покладається лише на одну ланку системи </w:t>
      </w:r>
      <w:r>
        <w:lastRenderedPageBreak/>
        <w:t>теплоенергетики - КП «Харківські теплові мережі».</w:t>
      </w:r>
    </w:p>
    <w:p w:rsidR="000D114E" w:rsidRDefault="005404DA">
      <w:pPr>
        <w:pStyle w:val="1"/>
        <w:shd w:val="clear" w:color="auto" w:fill="auto"/>
        <w:ind w:firstLine="600"/>
        <w:jc w:val="both"/>
      </w:pPr>
      <w:r>
        <w:t>Внаслідок цього у підприємства в розпорядженні залишається мінімум коштів, яких недостатньо навіть для вип</w:t>
      </w:r>
      <w:r>
        <w:t>лати заробітної плати та сплати податків, не кажучи вже про оплату рахунків за електроенергію і воду, витрати для підтримання нормальної роботи технологічного обладнання. Таким чином, кожного року лише за рахунок застосування коригуючого коефіцієнту КП «Ха</w:t>
      </w:r>
      <w:r>
        <w:t>рківські теплові мережі» втрачає більше 300 млн грн.</w:t>
      </w:r>
    </w:p>
    <w:p w:rsidR="000D114E" w:rsidRDefault="005404DA">
      <w:pPr>
        <w:pStyle w:val="1"/>
        <w:shd w:val="clear" w:color="auto" w:fill="auto"/>
        <w:ind w:firstLine="600"/>
        <w:jc w:val="both"/>
      </w:pPr>
      <w:r>
        <w:t>Також Порядок розподілу коштів при встановленні нормативу відрахування грошових коштів не враховує такий важливий аспект роботи теплопостачальних підприємств, як сезонність. Частка постійних витрат тепло</w:t>
      </w:r>
      <w:r>
        <w:t>постачального підприємства у літній період значно зростає. По КП «Харківські теплові мережі» цей відсоток у літній період складає більше 40% замість затверджених 10%. Найбільшу частину постійних витрат становлять витрати на заробітну плату та податки до не</w:t>
      </w:r>
      <w:r>
        <w:t xml:space="preserve">ї, а також витрати на виконання робіт по підготовці до опалювального сезону та на виконання затверджених інвестиційних програм. За умови дії нормативу відрахувань, встановленого Порядком розподілу коштів, ці витрати залишаються зовсім не профінансованими. </w:t>
      </w:r>
      <w:r>
        <w:t xml:space="preserve">Більшість теплопостачальних підприємств вимушені у </w:t>
      </w:r>
      <w:proofErr w:type="spellStart"/>
      <w:r>
        <w:t>міжопалювальний</w:t>
      </w:r>
      <w:proofErr w:type="spellEnd"/>
      <w:r>
        <w:t xml:space="preserve"> період вдаватися до таких непопулярних заходів, як перехід на неповний робочий тиждень, що призводить до відтоку кваліфікованих кадрів.</w:t>
      </w:r>
    </w:p>
    <w:p w:rsidR="000D114E" w:rsidRDefault="005404DA">
      <w:pPr>
        <w:pStyle w:val="1"/>
        <w:shd w:val="clear" w:color="auto" w:fill="auto"/>
        <w:ind w:firstLine="600"/>
        <w:jc w:val="both"/>
      </w:pPr>
      <w:r>
        <w:t>Незважаючи на вжиті Харківською міською радою заходи,</w:t>
      </w:r>
      <w:r>
        <w:t xml:space="preserve"> протягом останніх років підприємство працює у важких економічних умовах, пов’язаних з обмеженням грошових коштів. На цей час склалася вкрай складна фінансово- економічна ситуація на КП «Харківські теплові мережі».</w:t>
      </w:r>
    </w:p>
    <w:p w:rsidR="000D114E" w:rsidRDefault="005404DA">
      <w:pPr>
        <w:pStyle w:val="1"/>
        <w:shd w:val="clear" w:color="auto" w:fill="auto"/>
        <w:ind w:firstLine="600"/>
        <w:jc w:val="both"/>
      </w:pPr>
      <w:r>
        <w:t>Ураховуючи вищезазначене для забезпечення</w:t>
      </w:r>
      <w:r>
        <w:t xml:space="preserve"> стабільної роботи галузі теплоенергетики пропонуємо </w:t>
      </w:r>
      <w:proofErr w:type="spellStart"/>
      <w:r>
        <w:t>внести</w:t>
      </w:r>
      <w:proofErr w:type="spellEnd"/>
      <w:r>
        <w:t xml:space="preserve"> такі зміни до Порядку розподілу коштів, що надходять на поточні рахунки із спеціальним режимом використання для проведення розрахунків з постачальником природного газу, на якого покладено спеціаль</w:t>
      </w:r>
      <w:r>
        <w:t>ні обов’язки, затвердженого постановою Кабінету Міністрів України від 18.06.2014 №217:</w:t>
      </w:r>
    </w:p>
    <w:p w:rsidR="000D114E" w:rsidRDefault="005404DA">
      <w:pPr>
        <w:pStyle w:val="1"/>
        <w:numPr>
          <w:ilvl w:val="0"/>
          <w:numId w:val="1"/>
        </w:numPr>
        <w:shd w:val="clear" w:color="auto" w:fill="auto"/>
        <w:tabs>
          <w:tab w:val="left" w:pos="830"/>
        </w:tabs>
        <w:ind w:firstLine="600"/>
        <w:jc w:val="both"/>
      </w:pPr>
      <w:r>
        <w:t>відмінити застосування коефіцієнту рівня розрахунків за договорами купівлі-продажу (постачання) природного газу з постачальником природного газу із спеціальними обов’язками (так званого коригуючого коефіцієнту), який збільшує відрахування з розподільчого р</w:t>
      </w:r>
      <w:r>
        <w:t xml:space="preserve">ахунку на користь НАК </w:t>
      </w:r>
      <w:r w:rsidRPr="005C165D">
        <w:rPr>
          <w:lang w:eastAsia="ru-RU" w:bidi="ru-RU"/>
        </w:rPr>
        <w:t xml:space="preserve">«Нафтогаз </w:t>
      </w:r>
      <w:r>
        <w:t>України» (п. 20 Порядку розподілу коштів);</w:t>
      </w:r>
    </w:p>
    <w:p w:rsidR="000D114E" w:rsidRDefault="005404DA">
      <w:pPr>
        <w:pStyle w:val="1"/>
        <w:numPr>
          <w:ilvl w:val="0"/>
          <w:numId w:val="1"/>
        </w:numPr>
        <w:shd w:val="clear" w:color="auto" w:fill="auto"/>
        <w:tabs>
          <w:tab w:val="left" w:pos="830"/>
        </w:tabs>
        <w:ind w:firstLine="600"/>
        <w:jc w:val="both"/>
      </w:pPr>
      <w:proofErr w:type="spellStart"/>
      <w:r>
        <w:t>внести</w:t>
      </w:r>
      <w:proofErr w:type="spellEnd"/>
      <w:r>
        <w:t xml:space="preserve"> зміни до п. 23, передбачивши у складі граничного нормативу перерахування коштів на поточний рахунок теплопостачальної або </w:t>
      </w:r>
      <w:proofErr w:type="spellStart"/>
      <w:r>
        <w:t>теплогенеруючої</w:t>
      </w:r>
      <w:proofErr w:type="spellEnd"/>
      <w:r>
        <w:t xml:space="preserve"> організації витрати на електричну ен</w:t>
      </w:r>
      <w:r>
        <w:t>ергію за структурою діючого тарифу;</w:t>
      </w:r>
    </w:p>
    <w:p w:rsidR="000D114E" w:rsidRDefault="005404DA">
      <w:pPr>
        <w:pStyle w:val="1"/>
        <w:shd w:val="clear" w:color="auto" w:fill="auto"/>
        <w:ind w:firstLine="600"/>
        <w:jc w:val="both"/>
      </w:pPr>
      <w:r>
        <w:t xml:space="preserve">- доповнити п. 12 Порядку розподілу коштів таким положенням: «Норматив перерахування коштів розраховується з урахуванням структури витрат на опалювальний та </w:t>
      </w:r>
      <w:proofErr w:type="spellStart"/>
      <w:r>
        <w:t>міжопалювальний</w:t>
      </w:r>
      <w:proofErr w:type="spellEnd"/>
      <w:r>
        <w:t xml:space="preserve"> період окремо».</w:t>
      </w:r>
    </w:p>
    <w:p w:rsidR="000D114E" w:rsidRDefault="005404DA">
      <w:pPr>
        <w:pStyle w:val="1"/>
        <w:shd w:val="clear" w:color="auto" w:fill="auto"/>
        <w:spacing w:after="960"/>
        <w:ind w:firstLine="600"/>
        <w:jc w:val="both"/>
      </w:pPr>
      <w:r>
        <w:t>Ураховуючи важливе значення пор</w:t>
      </w:r>
      <w:r>
        <w:t xml:space="preserve">ушеного питання, просимо Вас, вельмишановний Олексію Валерійовичу, сприяти якнайшвидшому його вирішенню та про результати повідомити Харківську міську раду для подальшого </w:t>
      </w:r>
      <w:r>
        <w:lastRenderedPageBreak/>
        <w:t>інформування територіальної громади міста Харкова.</w:t>
      </w:r>
    </w:p>
    <w:p w:rsidR="000D114E" w:rsidRDefault="005404DA">
      <w:pPr>
        <w:pStyle w:val="1"/>
        <w:shd w:val="clear" w:color="auto" w:fill="auto"/>
        <w:ind w:firstLine="0"/>
        <w:jc w:val="both"/>
      </w:pPr>
      <w:r>
        <w:t>Звернення схвалено рішенням 33 сес</w:t>
      </w:r>
      <w:r>
        <w:t>ії</w:t>
      </w:r>
    </w:p>
    <w:p w:rsidR="000D114E" w:rsidRDefault="005404DA">
      <w:pPr>
        <w:pStyle w:val="1"/>
        <w:shd w:val="clear" w:color="auto" w:fill="auto"/>
        <w:spacing w:after="480"/>
        <w:ind w:firstLine="0"/>
        <w:jc w:val="both"/>
      </w:pPr>
      <w:r>
        <w:t>Харківської міської ради 7 скликання від 26.02.2020</w:t>
      </w:r>
    </w:p>
    <w:sectPr w:rsidR="000D114E">
      <w:headerReference w:type="even" r:id="rId7"/>
      <w:headerReference w:type="default" r:id="rId8"/>
      <w:pgSz w:w="11900" w:h="16840"/>
      <w:pgMar w:top="1231" w:right="545" w:bottom="1012" w:left="1448" w:header="0" w:footer="3"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404DA" w:rsidRDefault="005404DA">
      <w:r>
        <w:separator/>
      </w:r>
    </w:p>
  </w:endnote>
  <w:endnote w:type="continuationSeparator" w:id="0">
    <w:p w:rsidR="005404DA" w:rsidRDefault="005404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404DA" w:rsidRDefault="005404DA"/>
  </w:footnote>
  <w:footnote w:type="continuationSeparator" w:id="0">
    <w:p w:rsidR="005404DA" w:rsidRDefault="005404D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114E" w:rsidRDefault="005404DA">
    <w:pPr>
      <w:spacing w:line="1" w:lineRule="exact"/>
    </w:pPr>
    <w:r>
      <w:rPr>
        <w:noProof/>
      </w:rPr>
      <mc:AlternateContent>
        <mc:Choice Requires="wps">
          <w:drawing>
            <wp:anchor distT="0" distB="0" distL="0" distR="0" simplePos="0" relativeHeight="62914690" behindDoc="1" locked="0" layoutInCell="1" allowOverlap="1">
              <wp:simplePos x="0" y="0"/>
              <wp:positionH relativeFrom="page">
                <wp:posOffset>4044950</wp:posOffset>
              </wp:positionH>
              <wp:positionV relativeFrom="page">
                <wp:posOffset>504190</wp:posOffset>
              </wp:positionV>
              <wp:extent cx="60960" cy="97790"/>
              <wp:effectExtent l="0" t="0" r="0" b="0"/>
              <wp:wrapNone/>
              <wp:docPr id="1" name="Shape 1"/>
              <wp:cNvGraphicFramePr/>
              <a:graphic xmlns:a="http://schemas.openxmlformats.org/drawingml/2006/main">
                <a:graphicData uri="http://schemas.microsoft.com/office/word/2010/wordprocessingShape">
                  <wps:wsp>
                    <wps:cNvSpPr txBox="1"/>
                    <wps:spPr>
                      <a:xfrm>
                        <a:off x="0" y="0"/>
                        <a:ext cx="60960" cy="97790"/>
                      </a:xfrm>
                      <a:prstGeom prst="rect">
                        <a:avLst/>
                      </a:prstGeom>
                      <a:noFill/>
                    </wps:spPr>
                    <wps:txbx>
                      <w:txbxContent>
                        <w:p w:rsidR="000D114E" w:rsidRDefault="005404DA">
                          <w:pPr>
                            <w:pStyle w:val="22"/>
                            <w:shd w:val="clear" w:color="auto" w:fill="auto"/>
                          </w:pPr>
                          <w:r>
                            <w:rPr>
                              <w:rFonts w:ascii="Arial" w:eastAsia="Arial" w:hAnsi="Arial" w:cs="Arial"/>
                              <w:b/>
                              <w:bCs/>
                            </w:rPr>
                            <w:t>2</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318.5pt;margin-top:39.700000000000003pt;width:4.7999999999999998pt;height:7.7000000000000002pt;z-index:-188744063;mso-wrap-style:none;mso-wrap-distance-left:0;mso-wrap-distance-right:0;mso-position-horizontal-relative:page;mso-position-vertical-relative:page" wrapcoords="0 0" filled="f" stroked="f">
              <v:textbox style="mso-fit-shape-to-text:t" inset="0,0,0,0">
                <w:txbxContent>
                  <w:p>
                    <w:pPr>
                      <w:pStyle w:val="Style6"/>
                      <w:keepNext w:val="0"/>
                      <w:keepLines w:val="0"/>
                      <w:widowControl w:val="0"/>
                      <w:shd w:val="clear" w:color="auto" w:fill="auto"/>
                      <w:bidi w:val="0"/>
                      <w:spacing w:before="0" w:after="0" w:line="240" w:lineRule="auto"/>
                      <w:ind w:left="0" w:right="0" w:firstLine="0"/>
                      <w:jc w:val="left"/>
                    </w:pPr>
                    <w:r>
                      <w:rPr>
                        <w:rFonts w:ascii="Arial" w:eastAsia="Arial" w:hAnsi="Arial" w:cs="Arial"/>
                        <w:b/>
                        <w:bCs/>
                        <w:color w:val="000000"/>
                        <w:spacing w:val="0"/>
                        <w:w w:val="100"/>
                        <w:position w:val="0"/>
                        <w:shd w:val="clear" w:color="auto" w:fill="auto"/>
                      </w:rPr>
                      <w:t>2</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114E" w:rsidRDefault="000D114E">
    <w:pPr>
      <w:spacing w:line="1"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453BD6"/>
    <w:multiLevelType w:val="multilevel"/>
    <w:tmpl w:val="7B2E0AA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114E"/>
    <w:rsid w:val="000D114E"/>
    <w:rsid w:val="005404DA"/>
    <w:rsid w:val="005C165D"/>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989F63D-F8C8-4F22-8269-329DBAACC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Microsoft Sans Serif" w:eastAsia="Microsoft Sans Serif" w:hAnsi="Microsoft Sans Serif" w:cs="Microsoft Sans Serif"/>
        <w:sz w:val="24"/>
        <w:szCs w:val="24"/>
        <w:lang w:val="uk-UA" w:eastAsia="uk-UA" w:bidi="uk-U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u w:val="none"/>
    </w:rPr>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sz w:val="28"/>
      <w:szCs w:val="28"/>
      <w:u w:val="none"/>
    </w:rPr>
  </w:style>
  <w:style w:type="character" w:customStyle="1" w:styleId="21">
    <w:name w:val="Колонтитул (2)_"/>
    <w:basedOn w:val="a0"/>
    <w:link w:val="22"/>
    <w:rPr>
      <w:rFonts w:ascii="Times New Roman" w:eastAsia="Times New Roman" w:hAnsi="Times New Roman" w:cs="Times New Roman"/>
      <w:b w:val="0"/>
      <w:bCs w:val="0"/>
      <w:i w:val="0"/>
      <w:iCs w:val="0"/>
      <w:smallCaps w:val="0"/>
      <w:strike w:val="0"/>
      <w:sz w:val="20"/>
      <w:szCs w:val="20"/>
      <w:u w:val="none"/>
      <w:lang w:val="ru-RU" w:eastAsia="ru-RU" w:bidi="ru-RU"/>
    </w:rPr>
  </w:style>
  <w:style w:type="paragraph" w:customStyle="1" w:styleId="20">
    <w:name w:val="Основной текст (2)"/>
    <w:basedOn w:val="a"/>
    <w:link w:val="2"/>
    <w:pPr>
      <w:shd w:val="clear" w:color="auto" w:fill="FFFFFF"/>
      <w:spacing w:after="640" w:line="233" w:lineRule="auto"/>
      <w:ind w:left="5280"/>
    </w:pPr>
    <w:rPr>
      <w:rFonts w:ascii="Times New Roman" w:eastAsia="Times New Roman" w:hAnsi="Times New Roman" w:cs="Times New Roman"/>
    </w:rPr>
  </w:style>
  <w:style w:type="paragraph" w:customStyle="1" w:styleId="1">
    <w:name w:val="Основной текст1"/>
    <w:basedOn w:val="a"/>
    <w:link w:val="a3"/>
    <w:pPr>
      <w:shd w:val="clear" w:color="auto" w:fill="FFFFFF"/>
      <w:ind w:firstLine="400"/>
    </w:pPr>
    <w:rPr>
      <w:rFonts w:ascii="Times New Roman" w:eastAsia="Times New Roman" w:hAnsi="Times New Roman" w:cs="Times New Roman"/>
      <w:sz w:val="28"/>
      <w:szCs w:val="28"/>
    </w:rPr>
  </w:style>
  <w:style w:type="paragraph" w:customStyle="1" w:styleId="22">
    <w:name w:val="Колонтитул (2)"/>
    <w:basedOn w:val="a"/>
    <w:link w:val="21"/>
    <w:pPr>
      <w:shd w:val="clear" w:color="auto" w:fill="FFFFFF"/>
    </w:pPr>
    <w:rPr>
      <w:rFonts w:ascii="Times New Roman" w:eastAsia="Times New Roman" w:hAnsi="Times New Roman" w:cs="Times New Roman"/>
      <w:sz w:val="20"/>
      <w:szCs w:val="20"/>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880</Words>
  <Characters>5018</Characters>
  <Application>Microsoft Office Word</Application>
  <DocSecurity>0</DocSecurity>
  <Lines>41</Lines>
  <Paragraphs>11</Paragraphs>
  <ScaleCrop>false</ScaleCrop>
  <Company/>
  <LinksUpToDate>false</LinksUpToDate>
  <CharactersWithSpaces>5887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Dmitriy V. Starodubtsev</cp:lastModifiedBy>
  <cp:revision>2</cp:revision>
  <dcterms:created xsi:type="dcterms:W3CDTF">2020-02-26T10:02:00Z</dcterms:created>
  <dcterms:modified xsi:type="dcterms:W3CDTF">2020-02-26T10:03:00Z</dcterms:modified>
</cp:coreProperties>
</file>