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FC" w:rsidRPr="001D37FC" w:rsidRDefault="001D37FC" w:rsidP="001D37FC">
      <w:pPr>
        <w:ind w:right="-143"/>
        <w:jc w:val="both"/>
        <w:rPr>
          <w:rFonts w:cstheme="minorHAnsi"/>
          <w:b/>
          <w:sz w:val="24"/>
          <w:szCs w:val="24"/>
          <w:lang w:val="uk-UA"/>
        </w:rPr>
      </w:pPr>
      <w:r w:rsidRPr="001D37FC">
        <w:rPr>
          <w:rFonts w:cstheme="minorHAnsi"/>
          <w:sz w:val="24"/>
          <w:szCs w:val="24"/>
          <w:lang w:val="uk-UA"/>
        </w:rPr>
        <w:t xml:space="preserve">              </w:t>
      </w:r>
      <w:r>
        <w:rPr>
          <w:rFonts w:cstheme="minorHAnsi"/>
          <w:sz w:val="24"/>
          <w:szCs w:val="24"/>
          <w:lang w:val="uk-UA"/>
        </w:rPr>
        <w:t xml:space="preserve">                                                          </w:t>
      </w:r>
      <w:r w:rsidRPr="001D37FC">
        <w:rPr>
          <w:rFonts w:cstheme="minorHAnsi"/>
          <w:sz w:val="24"/>
          <w:szCs w:val="24"/>
          <w:lang w:val="uk-UA"/>
        </w:rPr>
        <w:t xml:space="preserve"> </w:t>
      </w:r>
      <w:r w:rsidRPr="001D37FC">
        <w:rPr>
          <w:rFonts w:cstheme="minorHAnsi"/>
          <w:b/>
          <w:sz w:val="24"/>
          <w:szCs w:val="24"/>
          <w:lang w:val="uk-UA"/>
        </w:rPr>
        <w:t>ЗВЕРНЕННЯ</w:t>
      </w:r>
    </w:p>
    <w:p w:rsidR="001D37FC" w:rsidRDefault="001D37FC" w:rsidP="001D37FC">
      <w:pPr>
        <w:ind w:right="-143"/>
        <w:jc w:val="both"/>
        <w:rPr>
          <w:rFonts w:cstheme="minorHAnsi"/>
          <w:b/>
          <w:sz w:val="24"/>
          <w:szCs w:val="24"/>
          <w:lang w:val="uk-UA"/>
        </w:rPr>
      </w:pPr>
      <w:r w:rsidRPr="001D37FC">
        <w:rPr>
          <w:rFonts w:cstheme="minorHAnsi"/>
          <w:b/>
          <w:sz w:val="24"/>
          <w:szCs w:val="24"/>
          <w:lang w:val="uk-UA"/>
        </w:rPr>
        <w:t xml:space="preserve">Харківської міської ради до Голови Верховної Ради України Разумкова Д.О. </w:t>
      </w:r>
    </w:p>
    <w:p w:rsidR="001D37FC" w:rsidRPr="001D37FC" w:rsidRDefault="001D37FC" w:rsidP="001D37FC">
      <w:pPr>
        <w:ind w:right="-143"/>
        <w:jc w:val="both"/>
        <w:rPr>
          <w:rFonts w:cstheme="minorHAnsi"/>
          <w:b/>
          <w:sz w:val="24"/>
          <w:szCs w:val="24"/>
          <w:lang w:val="uk-UA"/>
        </w:rPr>
      </w:pPr>
      <w:r>
        <w:rPr>
          <w:rFonts w:cstheme="minorHAnsi"/>
          <w:b/>
          <w:sz w:val="24"/>
          <w:szCs w:val="24"/>
          <w:lang w:val="uk-UA"/>
        </w:rPr>
        <w:t xml:space="preserve">   </w:t>
      </w:r>
      <w:r w:rsidRPr="001D37FC">
        <w:rPr>
          <w:rFonts w:cstheme="minorHAnsi"/>
          <w:b/>
          <w:sz w:val="24"/>
          <w:szCs w:val="24"/>
          <w:lang w:val="uk-UA"/>
        </w:rPr>
        <w:t>та Прем’єр-міністра України Гончарука О.В.</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Статтею 24 Конституції України проголошено, що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Відповідно до статті 38 Конституції України громадяни мають право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Конституцією України не встановлено жодних обмежень виборчих прав громадян України, пов’язаних з їх місцем або періодом проживання на території відповідних територіальних громад.</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На цей час потребує змін законодавство України, яке обмежує або робить неможливим участь внутрішньо переміщених осіб у виборчому процесі.</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Згідно зі статтями 2, 8 Закону України «Про забезпечення прав і свобод внутрішньо переміщених осіб» Україна вживає всіх можливих заходів, передбачених Конституцією та законами України, міжнародними договорами, згода на обов'язковість яких надана Верховною Радою України, щодо запобігання виникненню передумов вимушеного внутрішнього переміщення осіб, захисту та дотримання прав і свобод внутрішньо переміщених осіб, створення умов для добровільного повернення таких осіб до покинутого місця проживання або інтеграції за новим місцем проживання в Україні.</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Внутрішньо переміщена особа реалізує своє право голосу на виборах Президента України, народних депутатів України, місцевих виборах та референдумах шляхом зміни місця голосування без зміни виборчої адреси згідно з частиною третьою статті 7 Закону України «Про Державний реєстр виборців».</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Відповідно до частини 3 статті 3 Закону України «Про місцеві вибори» належність громадянина до відповідної територіальної громади та проживання його на відповідній території визначається його зареєстрованим місцем проживання.</w:t>
      </w:r>
    </w:p>
    <w:p w:rsidR="00BC4211" w:rsidRDefault="001D37FC" w:rsidP="001D37FC">
      <w:pPr>
        <w:ind w:right="-143"/>
        <w:jc w:val="both"/>
        <w:rPr>
          <w:rFonts w:cstheme="minorHAnsi"/>
          <w:sz w:val="24"/>
          <w:szCs w:val="24"/>
          <w:lang w:val="uk-UA"/>
        </w:rPr>
      </w:pPr>
      <w:r w:rsidRPr="001D37FC">
        <w:rPr>
          <w:rFonts w:cstheme="minorHAnsi"/>
          <w:sz w:val="24"/>
          <w:szCs w:val="24"/>
          <w:lang w:val="uk-UA"/>
        </w:rPr>
        <w:t>Згідно з частинами 1, 2 статті 8 Закону України «Про Державний реєстр виборців» виборчою адресою виборця є адреса, за якою зареєстровано його місце проживання відповідно до Закону України «Про свободу пересування та вільний вибір місця проживання в Україні». Виборча адреса є підставою для віднесення виборця до виборчої дільниці.</w:t>
      </w:r>
      <w:r w:rsidR="00BC4211">
        <w:rPr>
          <w:rFonts w:cstheme="minorHAnsi"/>
          <w:sz w:val="24"/>
          <w:szCs w:val="24"/>
          <w:lang w:val="uk-UA"/>
        </w:rPr>
        <w:t xml:space="preserve"> </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Законодавство про Державний реєстр виборців у частині встановлених підстав для визначення виборчої адреси не враховує факт постійного проживання громадян не за місцем реєстрації.</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lastRenderedPageBreak/>
        <w:t>Внутрішньо переміщені особи, які є новими членами наших територіальних громад, не можуть голосувати на місцевих виборах та обирати органи місцевого самоврядування за місцем свого фактичного проживання.</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Тільки у місті Харкові станом на 01.11.2019 на обліку в управліннях праці та соціального захисту населення районів міста перебувають 86937 внутрішньо переміщених осіб, з них виборців - понад 75000.</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Питання забезпечення прав внутрішньо переміщених осіб є предметом розгляду міжнародних інституцій.</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Згідно з Рекомендацією Ііес (2006) 6 Комітету міністрів Ради Європи державам- членам щодо внутрішньо переміщених осіб (ухвалено Комітетом міністрів Ради Європи на 961-му засіданні заступників міністрів 5 квітня 2006 року), держави-члени повинні вжити належних правових і практичних заходів, щоб внутрішньо переміщені особи могли повноцінно реалізувати своє право голосувати на національних, регіональних або місцевих виборах, а також гарантувати, що не буде жодних перешкод у його практичній реалізації.</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Рекомендація 1877 (2009) Парламентської Асамблеї Ради Європи від 24.06.2009 «Забуті люди Європи: захист прав людини осіб, переміщених на тривалий час» звертає увагу на необхідність забезпечення умов, за яких внутрішньо переміщені особи зможуть користуватися своїм правом на участь у державних справах на всіх рівнях, зокрема правом голосувати чи балотуватися на виборах.</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На місцевих виборах у 2015 році внутрішньо переміщені особи були позбавлені конституційного права вільно обирати і бути обраними до органів місцевого самоврядування.</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Згідно із статтею 93 Конституції України, статтею 89 Закону України «Про Регламент Верховної Ради України», народним депутатам України належить право законодавчої ініціативи у Верховній Раді України.</w:t>
      </w:r>
    </w:p>
    <w:p w:rsidR="001D37FC" w:rsidRPr="001D37FC" w:rsidRDefault="001D37FC" w:rsidP="001D37FC">
      <w:pPr>
        <w:ind w:right="-143"/>
        <w:jc w:val="both"/>
        <w:rPr>
          <w:rFonts w:cstheme="minorHAnsi"/>
          <w:sz w:val="24"/>
          <w:szCs w:val="24"/>
          <w:lang w:val="uk-UA"/>
        </w:rPr>
      </w:pPr>
      <w:r w:rsidRPr="001D37FC">
        <w:rPr>
          <w:rFonts w:cstheme="minorHAnsi"/>
          <w:sz w:val="24"/>
          <w:szCs w:val="24"/>
          <w:lang w:val="uk-UA"/>
        </w:rPr>
        <w:t>На підставі викладеного Харківська міська рада звертається до Вас, вельмишановний Дмитре Олександровичу, з проханням вжити відповідних заходів щодо внесення законодавчої ініціативи про забезпечення внутрішньо переміщеним особам реалізації їх конституційних прав і свобод, передбачених статтею 38 Конституції України.</w:t>
      </w:r>
    </w:p>
    <w:p w:rsidR="001D37FC" w:rsidRPr="00830DA2" w:rsidRDefault="001D37FC" w:rsidP="001D37FC">
      <w:pPr>
        <w:ind w:right="-143"/>
        <w:jc w:val="both"/>
        <w:rPr>
          <w:rFonts w:cstheme="minorHAnsi"/>
          <w:sz w:val="24"/>
          <w:szCs w:val="24"/>
          <w:lang w:val="uk-UA"/>
        </w:rPr>
      </w:pPr>
      <w:r w:rsidRPr="001D37FC">
        <w:rPr>
          <w:rFonts w:cstheme="minorHAnsi"/>
          <w:sz w:val="24"/>
          <w:szCs w:val="24"/>
          <w:lang w:val="uk-UA"/>
        </w:rPr>
        <w:t>Просимо сприяти якнайшвидшому вирішенню вказаного питання та про результати повідомити Харківську міську раду для подальшого інформування територіальної громади міста Харкова.</w:t>
      </w:r>
      <w:bookmarkStart w:id="0" w:name="_GoBack"/>
      <w:bookmarkEnd w:id="0"/>
    </w:p>
    <w:sectPr w:rsidR="001D37FC" w:rsidRPr="00830DA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FC" w:rsidRDefault="00100CFC" w:rsidP="00775C36">
      <w:pPr>
        <w:spacing w:after="0" w:line="240" w:lineRule="auto"/>
      </w:pPr>
      <w:r>
        <w:separator/>
      </w:r>
    </w:p>
  </w:endnote>
  <w:endnote w:type="continuationSeparator" w:id="0">
    <w:p w:rsidR="00100CFC" w:rsidRDefault="00100CFC" w:rsidP="0077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FC" w:rsidRDefault="00100CFC" w:rsidP="00775C36">
      <w:pPr>
        <w:spacing w:after="0" w:line="240" w:lineRule="auto"/>
      </w:pPr>
      <w:r>
        <w:separator/>
      </w:r>
    </w:p>
  </w:footnote>
  <w:footnote w:type="continuationSeparator" w:id="0">
    <w:p w:rsidR="00100CFC" w:rsidRDefault="00100CFC" w:rsidP="0077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389402"/>
      <w:docPartObj>
        <w:docPartGallery w:val="Page Numbers (Top of Page)"/>
        <w:docPartUnique/>
      </w:docPartObj>
    </w:sdtPr>
    <w:sdtEndPr/>
    <w:sdtContent>
      <w:p w:rsidR="00775C36" w:rsidRDefault="00775C36">
        <w:pPr>
          <w:pStyle w:val="a3"/>
          <w:jc w:val="center"/>
        </w:pPr>
        <w:r>
          <w:fldChar w:fldCharType="begin"/>
        </w:r>
        <w:r>
          <w:instrText>PAGE   \* MERGEFORMAT</w:instrText>
        </w:r>
        <w:r>
          <w:fldChar w:fldCharType="separate"/>
        </w:r>
        <w:r w:rsidR="001D37FC">
          <w:rPr>
            <w:noProof/>
          </w:rPr>
          <w:t>2</w:t>
        </w:r>
        <w:r>
          <w:fldChar w:fldCharType="end"/>
        </w:r>
      </w:p>
    </w:sdtContent>
  </w:sdt>
  <w:p w:rsidR="00775C36" w:rsidRDefault="00775C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FD"/>
    <w:rsid w:val="00100CFC"/>
    <w:rsid w:val="00161521"/>
    <w:rsid w:val="00172864"/>
    <w:rsid w:val="001B3955"/>
    <w:rsid w:val="001D37FC"/>
    <w:rsid w:val="003A361F"/>
    <w:rsid w:val="005E1400"/>
    <w:rsid w:val="005E16DE"/>
    <w:rsid w:val="00651C0E"/>
    <w:rsid w:val="00696A97"/>
    <w:rsid w:val="00775C36"/>
    <w:rsid w:val="008306FD"/>
    <w:rsid w:val="00830DA2"/>
    <w:rsid w:val="00BC4211"/>
    <w:rsid w:val="00C503E9"/>
    <w:rsid w:val="00E1687A"/>
    <w:rsid w:val="00F2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2E93"/>
  <w15:chartTrackingRefBased/>
  <w15:docId w15:val="{874C2F64-A473-486D-98C7-C1E3B6FA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5C36"/>
  </w:style>
  <w:style w:type="paragraph" w:styleId="a5">
    <w:name w:val="footer"/>
    <w:basedOn w:val="a"/>
    <w:link w:val="a6"/>
    <w:uiPriority w:val="99"/>
    <w:unhideWhenUsed/>
    <w:rsid w:val="00775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5C36"/>
  </w:style>
  <w:style w:type="paragraph" w:styleId="a7">
    <w:name w:val="Balloon Text"/>
    <w:basedOn w:val="a"/>
    <w:link w:val="a8"/>
    <w:uiPriority w:val="99"/>
    <w:semiHidden/>
    <w:unhideWhenUsed/>
    <w:rsid w:val="00775C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5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DEP4</dc:creator>
  <cp:keywords/>
  <dc:description/>
  <cp:lastModifiedBy>Mariia A. Pyrsenkova</cp:lastModifiedBy>
  <cp:revision>2</cp:revision>
  <cp:lastPrinted>2019-11-18T10:27:00Z</cp:lastPrinted>
  <dcterms:created xsi:type="dcterms:W3CDTF">2019-11-27T09:14:00Z</dcterms:created>
  <dcterms:modified xsi:type="dcterms:W3CDTF">2019-11-27T09:14:00Z</dcterms:modified>
</cp:coreProperties>
</file>