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3580"/>
        <w:spacing w:after="167" w:line="270" w:lineRule="exact"/>
      </w:pPr>
      <w:bookmarkStart w:id="0" w:name="bookmark0"/>
      <w:r>
        <w:t xml:space="preserve">ПАМ'ЯТКА батькам,</w:t>
      </w:r>
      <w:bookmarkEnd w:id="0"/>
    </w:p>
    <w:p>
      <w:pPr>
        <w:pStyle w:val="Style5"/>
        <w:keepNext/>
        <w:keepLines/>
        <w:shd w:val="clear" w:color="auto" w:fill="auto"/>
        <w:ind w:left="140"/>
        <w:spacing w:before="0" w:after="135" w:line="270" w:lineRule="exact"/>
      </w:pPr>
      <w:bookmarkStart w:id="1" w:name="bookmark1"/>
      <w:r>
        <w:t xml:space="preserve">які планують здійснити благодійний внесок до навчального закладу</w:t>
      </w:r>
      <w:bookmarkEnd w:id="1"/>
    </w:p>
    <w:p>
      <w:pPr>
        <w:numPr>
          <w:ilvl w:val="0"/>
          <w:numId w:val="1"/>
        </w:numPr>
        <w:pStyle w:val="Style7"/>
        <w:tabs>
          <w:tab w:leader="none" w:pos="1158" w:val="left"/>
        </w:tabs>
        <w:shd w:val="clear" w:color="auto" w:fill="auto"/>
        <w:jc w:val="both"/>
        <w:ind w:left="140" w:right="120" w:firstLine="740"/>
        <w:spacing w:line="274" w:lineRule="exact"/>
      </w:pPr>
      <w:r>
        <w:t xml:space="preserve">Благодійна діяльність регламентується законодавчими актами та нормативними документами (перелік додається).</w:t>
      </w:r>
    </w:p>
    <w:p>
      <w:pPr>
        <w:numPr>
          <w:ilvl w:val="0"/>
          <w:numId w:val="1"/>
        </w:numPr>
        <w:pStyle w:val="Style7"/>
        <w:tabs>
          <w:tab w:leader="none" w:pos="1090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Благодійні внески можуть бути виключно добровільними! Допомагати навчальному закладу чи ні - це Ваше особисте рішення. Ніхто не може контролювати здійснення Вами благодійної допомоги.</w:t>
      </w:r>
    </w:p>
    <w:p>
      <w:pPr>
        <w:numPr>
          <w:ilvl w:val="0"/>
          <w:numId w:val="1"/>
        </w:numPr>
        <w:pStyle w:val="Style7"/>
        <w:tabs>
          <w:tab w:leader="none" w:pos="1220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Благодійні внески у вигляді коштів не можуть прийматися працівниками навчального закладу, окрім бухгалтера у навчальних закладах, що ведуть самостійний бухгалтерський облік.</w:t>
      </w:r>
    </w:p>
    <w:p>
      <w:pPr>
        <w:numPr>
          <w:ilvl w:val="0"/>
          <w:numId w:val="1"/>
        </w:numPr>
        <w:pStyle w:val="Style7"/>
        <w:tabs>
          <w:tab w:leader="none" w:pos="1129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Переказ благодійних внесків Ви можете здійснити на спеціальний розрахунковий рахунок навчального закладу, що розміщений на інформаційному стенді та на сайті навчального закладу, через каси банку, інтернет-банкінг, платіжні системи тощо. У будь- якому обраному Вами варіанті обов'язковим є відповідне оформлення у бухгалтерському обліку.</w:t>
      </w:r>
    </w:p>
    <w:p>
      <w:pPr>
        <w:numPr>
          <w:ilvl w:val="0"/>
          <w:numId w:val="1"/>
        </w:numPr>
        <w:pStyle w:val="Style7"/>
        <w:tabs>
          <w:tab w:leader="none" w:pos="1129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Якщо благодійний внесок робиться у грошовій формі слід зазначати цілі, на які внесок призначається (обговорений на засіданні Ради навчального закладу трирічний план розвитку матеріально-технічної бази навчального закладу розміщений на сайті навчального закладу). Якщо благодійник не вказує цілі, то керівник навчального закладу може направити благодійні кошти на першочергові потреби, пов'язані виключно з основною діяльністю.</w:t>
      </w:r>
    </w:p>
    <w:p>
      <w:pPr>
        <w:numPr>
          <w:ilvl w:val="0"/>
          <w:numId w:val="1"/>
        </w:numPr>
        <w:pStyle w:val="Style7"/>
        <w:tabs>
          <w:tab w:leader="none" w:pos="1234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Благодійник має право здійснювати контроль за цільовим використанням благодійних внесків, у тому числі шляхом отримання інформації на письмовий запит, участі в загальних зборах батьків, де вирішуються питання надання благодійної допомоги та/чи заслуховується звіт батьківського комітету (ради) про використання благодійної допомоги. Ви можете вимагати позачергові звіти батьківських комітетів (рад) про використання благодійної допомоги.</w:t>
      </w:r>
    </w:p>
    <w:p>
      <w:pPr>
        <w:numPr>
          <w:ilvl w:val="0"/>
          <w:numId w:val="1"/>
        </w:numPr>
        <w:pStyle w:val="Style7"/>
        <w:tabs>
          <w:tab w:leader="none" w:pos="1075" w:val="left"/>
        </w:tabs>
        <w:shd w:val="clear" w:color="auto" w:fill="auto"/>
        <w:jc w:val="both"/>
        <w:ind w:left="140" w:firstLine="700"/>
        <w:spacing w:line="274" w:lineRule="exact"/>
      </w:pPr>
      <w:r>
        <w:t xml:space="preserve">Благодійник має право отримувати звіт про використання його внесків.</w:t>
      </w:r>
    </w:p>
    <w:p>
      <w:pPr>
        <w:numPr>
          <w:ilvl w:val="0"/>
          <w:numId w:val="1"/>
        </w:numPr>
        <w:pStyle w:val="Style7"/>
        <w:tabs>
          <w:tab w:leader="none" w:pos="1090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Щомісячний звіт адміністрації навчального закладу щодо залучення та використання благодійних внесків у рекомендованій Департаментом освіти формі повинен розміщуватися на сайті та інформаційному стенді навчального закладу.</w:t>
      </w:r>
    </w:p>
    <w:p>
      <w:pPr>
        <w:numPr>
          <w:ilvl w:val="0"/>
          <w:numId w:val="1"/>
        </w:numPr>
        <w:pStyle w:val="Style7"/>
        <w:tabs>
          <w:tab w:leader="none" w:pos="1143" w:val="left"/>
        </w:tabs>
        <w:shd w:val="clear" w:color="auto" w:fill="auto"/>
        <w:jc w:val="both"/>
        <w:ind w:left="140" w:right="120" w:firstLine="700"/>
        <w:spacing w:line="274" w:lineRule="exact"/>
      </w:pPr>
      <w:r>
        <w:t xml:space="preserve">Ви маєте знати про обов'язковість щорічного звітування керівника навчального закладу на загальних зборах (конференціях) педагогічного колективу, батьківського комітету, ради, піклувальної ради та громадськості.</w:t>
      </w:r>
    </w:p>
    <w:p>
      <w:pPr>
        <w:numPr>
          <w:ilvl w:val="0"/>
          <w:numId w:val="1"/>
        </w:numPr>
        <w:pStyle w:val="Style7"/>
        <w:tabs>
          <w:tab w:leader="none" w:pos="1273" w:val="left"/>
        </w:tabs>
        <w:shd w:val="clear" w:color="auto" w:fill="auto"/>
        <w:jc w:val="both"/>
        <w:ind w:left="140" w:right="120" w:firstLine="740"/>
        <w:spacing w:after="245" w:line="274" w:lineRule="exact"/>
      </w:pPr>
      <w:r>
        <w:t xml:space="preserve">У разі примусового збору коштів, фактів дискримінації дітей або порушення вимог діючого законодавства України Ви завжди можете звернутися за Телефонами Довіри до Департаменту освіти Харківської міської ради (725-25-01), громадських приймалень депутатів Харківської міської ради 7 скликання (номери телефонів розміщені на офіційному сайті Харківської міської ради, міського голови, виконавчого комітету </w:t>
      </w:r>
      <w:r>
        <w:fldChar w:fldCharType="begin"/>
      </w:r>
      <w:r>
        <w:rPr/>
        <w:instrText> HYPERLINK "http://www.city.kharkov.ua"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http://www.city.kharkov.ua</w:t>
      </w:r>
      <w:r>
        <w:fldChar w:fldCharType="end"/>
      </w:r>
      <w:r>
        <w:rPr>
          <w:lang w:val="en-US"/>
        </w:rPr>
        <w:t xml:space="preserve"> </w:t>
      </w:r>
      <w:r>
        <w:t xml:space="preserve">або управлінь освіти адміністрацій районів Харківської міської ради.</w:t>
      </w:r>
    </w:p>
    <w:tbl>
      <w:tblPr>
        <w:tblLayout w:type="fixed"/>
        <w:jc w:val="center"/>
      </w:tblPr>
      <w:tblGrid>
        <w:gridCol w:w="7483"/>
        <w:gridCol w:w="2400"/>
      </w:tblGrid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Шевченківський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340-31-43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Новобаварський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734-94-30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Слобідський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737-15-99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Основ'янський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725-27-91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Холодногірський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712-34-27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Немищлянський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392-02-41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Київський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725-24-86</w:t>
            </w: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Індустріальний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93-41-35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Московський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ind w:left="720"/>
              <w:spacing w:line="240" w:lineRule="auto"/>
            </w:pPr>
            <w:r>
              <w:rPr>
                <w:lang w:val="ru"/>
              </w:rPr>
              <w:t xml:space="preserve">68-54-90</w:t>
            </w: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748" w:left="1439" w:right="575" w:bottom="179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uk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uk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uk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after="240"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Заголовок №2"/>
    <w:basedOn w:val="Normal"/>
    <w:link w:val="CharStyle6"/>
    <w:pPr>
      <w:shd w:val="clear" w:color="auto" w:fill="FFFFFF"/>
      <w:jc w:val="both"/>
      <w:outlineLvl w:val="1"/>
      <w:ind w:firstLine="700"/>
      <w:spacing w:before="240" w:after="240" w:line="0" w:lineRule="exact"/>
    </w:pPr>
    <w:rPr>
      <w:b/>
      <w:bCs/>
      <w:i/>
      <w:i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spacing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