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keepNext/>
        <w:keepLines/>
        <w:shd w:val="clear" w:color="auto" w:fill="auto"/>
        <w:ind w:left="3580"/>
        <w:spacing w:after="167" w:line="270" w:lineRule="exact"/>
      </w:pPr>
      <w:bookmarkStart w:id="0" w:name="bookmark0"/>
      <w:r>
        <w:t xml:space="preserve">ПАМ'ЯТКА батькам,</w:t>
      </w:r>
      <w:bookmarkEnd w:id="0"/>
    </w:p>
    <w:p>
      <w:pPr>
        <w:pStyle w:val="Style5"/>
        <w:keepNext/>
        <w:keepLines/>
        <w:shd w:val="clear" w:color="auto" w:fill="auto"/>
        <w:ind w:left="140"/>
        <w:spacing w:before="0" w:after="135" w:line="270" w:lineRule="exact"/>
      </w:pPr>
      <w:bookmarkStart w:id="1" w:name="bookmark1"/>
      <w:r>
        <w:t xml:space="preserve">які планують здійснити благодійний внесок до навчального закладу</w:t>
      </w:r>
      <w:bookmarkEnd w:id="1"/>
    </w:p>
    <w:p>
      <w:pPr>
        <w:numPr>
          <w:ilvl w:val="0"/>
          <w:numId w:val="1"/>
        </w:numPr>
        <w:pStyle w:val="Style7"/>
        <w:tabs>
          <w:tab w:leader="none" w:pos="1158" w:val="left"/>
        </w:tabs>
        <w:shd w:val="clear" w:color="auto" w:fill="auto"/>
        <w:jc w:val="both"/>
        <w:ind w:left="140" w:right="120" w:firstLine="740"/>
        <w:spacing w:line="274" w:lineRule="exact"/>
      </w:pPr>
      <w:r>
        <w:t xml:space="preserve">Благодійна діяльність регламентується законодавчими актами та нормативними документами (перелік додається).</w:t>
      </w:r>
    </w:p>
    <w:p>
      <w:pPr>
        <w:numPr>
          <w:ilvl w:val="0"/>
          <w:numId w:val="1"/>
        </w:numPr>
        <w:pStyle w:val="Style7"/>
        <w:tabs>
          <w:tab w:leader="none" w:pos="1090" w:val="left"/>
        </w:tabs>
        <w:shd w:val="clear" w:color="auto" w:fill="auto"/>
        <w:jc w:val="both"/>
        <w:ind w:left="140" w:right="120" w:firstLine="700"/>
        <w:spacing w:line="274" w:lineRule="exact"/>
      </w:pPr>
      <w:r>
        <w:t xml:space="preserve">Благодійні внески можуть бути виключно добровільними! Допомагати навчальному закладу чи ні - це Ваше особисте рішення. Ніхто не може контролювати здійснення Вами благодійної допомоги.</w:t>
      </w:r>
    </w:p>
    <w:p>
      <w:pPr>
        <w:numPr>
          <w:ilvl w:val="0"/>
          <w:numId w:val="1"/>
        </w:numPr>
        <w:pStyle w:val="Style7"/>
        <w:tabs>
          <w:tab w:leader="none" w:pos="1220" w:val="left"/>
        </w:tabs>
        <w:shd w:val="clear" w:color="auto" w:fill="auto"/>
        <w:jc w:val="both"/>
        <w:ind w:left="140" w:right="120" w:firstLine="700"/>
        <w:spacing w:line="274" w:lineRule="exact"/>
      </w:pPr>
      <w:r>
        <w:t xml:space="preserve">Благодійні внески у вигляді коштів не можуть прийматися працівниками навчального закладу, окрім бухгалтера у навчальних закладах, що ведуть самостійний бухгалтерський облік.</w:t>
      </w:r>
    </w:p>
    <w:p>
      <w:pPr>
        <w:numPr>
          <w:ilvl w:val="0"/>
          <w:numId w:val="1"/>
        </w:numPr>
        <w:pStyle w:val="Style7"/>
        <w:tabs>
          <w:tab w:leader="none" w:pos="1129" w:val="left"/>
        </w:tabs>
        <w:shd w:val="clear" w:color="auto" w:fill="auto"/>
        <w:jc w:val="both"/>
        <w:ind w:left="140" w:right="120" w:firstLine="700"/>
        <w:spacing w:line="274" w:lineRule="exact"/>
      </w:pPr>
      <w:r>
        <w:t xml:space="preserve">Переказ благодійних внесків Ви можете здійснити на спеціальний розрахунковий рахунок навчального закладу, що розміщений на інформаційному стенді та на сайті навчального закладу, через каси банку, інтернет-банкінг, платіжні системи тощо. У будь- якому обраному Вами варіанті обов'язковим є відповідне оформлення у бухгалтерському обліку.</w:t>
      </w:r>
    </w:p>
    <w:p>
      <w:pPr>
        <w:numPr>
          <w:ilvl w:val="0"/>
          <w:numId w:val="1"/>
        </w:numPr>
        <w:pStyle w:val="Style7"/>
        <w:tabs>
          <w:tab w:leader="none" w:pos="1129" w:val="left"/>
        </w:tabs>
        <w:shd w:val="clear" w:color="auto" w:fill="auto"/>
        <w:jc w:val="both"/>
        <w:ind w:left="140" w:right="120" w:firstLine="700"/>
        <w:spacing w:line="274" w:lineRule="exact"/>
      </w:pPr>
      <w:r>
        <w:t xml:space="preserve">Якщо благодійний внесок робиться у грошовій формі слід зазначати цілі, на які внесок призначається (обговорений на засіданні Ради навчального закладу трирічний план розвитку матеріально-технічної бази навчального закладу розміщений на сайті навчального закладу). Якщо благодійник не вказує цілі, то керівник навчального закладу може направити благодійні кошти на першочергові потреби, пов'язані виключно з основною діяльністю.</w:t>
      </w:r>
    </w:p>
    <w:p>
      <w:pPr>
        <w:numPr>
          <w:ilvl w:val="0"/>
          <w:numId w:val="1"/>
        </w:numPr>
        <w:pStyle w:val="Style7"/>
        <w:tabs>
          <w:tab w:leader="none" w:pos="1234" w:val="left"/>
        </w:tabs>
        <w:shd w:val="clear" w:color="auto" w:fill="auto"/>
        <w:jc w:val="both"/>
        <w:ind w:left="140" w:right="120" w:firstLine="700"/>
        <w:spacing w:line="274" w:lineRule="exact"/>
      </w:pPr>
      <w:r>
        <w:t xml:space="preserve">Благодійник має право здійснювати контроль за цільовим використанням благодійних внесків, у тому числі шляхом отримання інформації на письмовий запит, участі в загальних зборах батьків, де вирішуються питання надання благодійної допомоги та/чи заслуховується звіт батьківського комітету (ради) про використання благодійної допомоги. Ви можете вимагати позачергові звіти батьківських комітетів (рад) про використання благодійної допомоги.</w:t>
      </w:r>
    </w:p>
    <w:p>
      <w:pPr>
        <w:numPr>
          <w:ilvl w:val="0"/>
          <w:numId w:val="1"/>
        </w:numPr>
        <w:pStyle w:val="Style7"/>
        <w:tabs>
          <w:tab w:leader="none" w:pos="1075" w:val="left"/>
        </w:tabs>
        <w:shd w:val="clear" w:color="auto" w:fill="auto"/>
        <w:jc w:val="both"/>
        <w:ind w:left="140" w:firstLine="700"/>
        <w:spacing w:line="274" w:lineRule="exact"/>
      </w:pPr>
      <w:r>
        <w:t xml:space="preserve">Благодійник має право отримувати звіт про використання його внесків.</w:t>
      </w:r>
    </w:p>
    <w:p>
      <w:pPr>
        <w:numPr>
          <w:ilvl w:val="0"/>
          <w:numId w:val="1"/>
        </w:numPr>
        <w:pStyle w:val="Style7"/>
        <w:tabs>
          <w:tab w:leader="none" w:pos="1090" w:val="left"/>
        </w:tabs>
        <w:shd w:val="clear" w:color="auto" w:fill="auto"/>
        <w:jc w:val="both"/>
        <w:ind w:left="140" w:right="120" w:firstLine="700"/>
        <w:spacing w:line="274" w:lineRule="exact"/>
      </w:pPr>
      <w:r>
        <w:t xml:space="preserve">Щомісячний звіт адміністрації навчального закладу щодо залучення та використання благодійних внесків у рекомендованій Департаментом освіти формі повинен розміщуватися на сайті та інформаційному стенді навчального закладу.</w:t>
      </w:r>
    </w:p>
    <w:p>
      <w:pPr>
        <w:numPr>
          <w:ilvl w:val="0"/>
          <w:numId w:val="1"/>
        </w:numPr>
        <w:pStyle w:val="Style7"/>
        <w:tabs>
          <w:tab w:leader="none" w:pos="1143" w:val="left"/>
        </w:tabs>
        <w:shd w:val="clear" w:color="auto" w:fill="auto"/>
        <w:jc w:val="both"/>
        <w:ind w:left="140" w:right="120" w:firstLine="700"/>
        <w:spacing w:line="274" w:lineRule="exact"/>
      </w:pPr>
      <w:r>
        <w:t xml:space="preserve">Ви маєте знати про обов'язковість щорічного звітування керівника навчального закладу на загальних зборах (конференціях) педагогічного колективу, батьківського комітету, ради, піклувальної ради та громадськості.</w:t>
      </w:r>
    </w:p>
    <w:p>
      <w:pPr>
        <w:numPr>
          <w:ilvl w:val="0"/>
          <w:numId w:val="1"/>
        </w:numPr>
        <w:pStyle w:val="Style7"/>
        <w:tabs>
          <w:tab w:leader="none" w:pos="1273" w:val="left"/>
        </w:tabs>
        <w:shd w:val="clear" w:color="auto" w:fill="auto"/>
        <w:jc w:val="both"/>
        <w:ind w:left="140" w:right="120" w:firstLine="740"/>
        <w:spacing w:after="245" w:line="274" w:lineRule="exact"/>
      </w:pPr>
      <w:r>
        <w:t xml:space="preserve">У разі примусового збору коштів, фактів дискримінації дітей або порушення вимог діючого законодавства України Ви завжди можете звернутися за Телефонами Довіри до Департаменту освіти Харківської міської ради (725-25-01), громадських приймалень депутатів Харківської міської ради 7 скликання (номери телефонів розміщені на офіційному сайті Харківської міської ради, міського голови, виконавчого комітету </w:t>
      </w:r>
      <w:r>
        <w:fldChar w:fldCharType="begin"/>
      </w:r>
      <w:r>
        <w:rPr/>
        <w:instrText> HYPERLINK "http://www.city.kharkov.ua" </w:instrText>
      </w:r>
      <w:r>
        <w:fldChar w:fldCharType="separate"/>
      </w:r>
      <w:r>
        <w:rPr>
          <w:rStyle w:val="Hyperlink"/>
          <w:lang w:val="en-US"/>
          <w:b w:val="0"/>
          <w:bCs w:val="0"/>
          <w:i w:val="0"/>
          <w:iCs w:val="0"/>
          <w:strike w:val="0"/>
          <w:smallCaps w:val="0"/>
          <w:sz w:val="22"/>
          <w:szCs w:val="22"/>
          <w:rFonts w:ascii="Times New Roman" w:eastAsia="Times New Roman" w:hAnsi="Times New Roman" w:cs="Times New Roman"/>
          <w:w w:val="100"/>
          <w:spacing w:val="0"/>
          <w:position w:val="0"/>
        </w:rPr>
        <w:t xml:space="preserve">http://www.city.kharkov.ua</w:t>
      </w:r>
      <w:r>
        <w:fldChar w:fldCharType="end"/>
      </w:r>
      <w:r>
        <w:rPr>
          <w:lang w:val="en-US"/>
        </w:rPr>
        <w:t xml:space="preserve"> </w:t>
      </w:r>
      <w:r>
        <w:t xml:space="preserve">або управлінь освіти адміністрацій районів Харківської міської ради.</w:t>
      </w:r>
    </w:p>
    <w:tbl>
      <w:tblPr>
        <w:tblLayout w:type="fixed"/>
        <w:jc w:val="center"/>
      </w:tblPr>
      <w:tblGrid>
        <w:gridCol w:w="7483"/>
        <w:gridCol w:w="2400"/>
      </w:tblGrid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Шевченківський район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rPr>
                <w:lang w:val="ru"/>
              </w:rPr>
              <w:t xml:space="preserve">340-31-43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Новобаварський район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rPr>
                <w:lang w:val="ru"/>
              </w:rPr>
              <w:t xml:space="preserve">734-94-30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Слобідський район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rPr>
                <w:lang w:val="ru"/>
              </w:rPr>
              <w:t xml:space="preserve">737-15-99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Основ'янський район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rPr>
                <w:lang w:val="ru"/>
              </w:rPr>
              <w:t xml:space="preserve">725-27-91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Холодногірський район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rPr>
                <w:lang w:val="ru"/>
              </w:rPr>
              <w:t xml:space="preserve">712-34-27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Немищлянський район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rPr>
                <w:lang w:val="ru"/>
              </w:rPr>
              <w:t xml:space="preserve">392-02-41</w:t>
            </w:r>
          </w:p>
        </w:tc>
      </w:tr>
      <w:tr>
        <w:trPr>
          <w:trHeight w:val="28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Київський район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rPr>
                <w:lang w:val="ru"/>
              </w:rPr>
              <w:t xml:space="preserve">725-24-86</w:t>
            </w:r>
          </w:p>
        </w:tc>
      </w:tr>
      <w:tr>
        <w:trPr>
          <w:trHeight w:val="28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Індустріальний район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rPr>
                <w:lang w:val="ru"/>
              </w:rPr>
              <w:t xml:space="preserve">93-41-35</w:t>
            </w:r>
          </w:p>
        </w:tc>
      </w:tr>
      <w:tr>
        <w:trPr>
          <w:trHeight w:val="29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120"/>
              <w:spacing w:line="240" w:lineRule="auto"/>
            </w:pPr>
            <w:r>
              <w:t xml:space="preserve">Московський район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rap="notBeside" w:vAnchor="text" w:hAnchor="text" w:xAlign="center" w:y="1"/>
              <w:shd w:val="clear" w:color="auto" w:fill="auto"/>
              <w:ind w:left="720"/>
              <w:spacing w:line="240" w:lineRule="auto"/>
            </w:pPr>
            <w:r>
              <w:rPr>
                <w:lang w:val="ru"/>
              </w:rPr>
              <w:t xml:space="preserve">68-54-90</w:t>
            </w:r>
          </w:p>
        </w:tc>
      </w:tr>
    </w:tbl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748" w:left="1439" w:right="575" w:bottom="1799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uk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uk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uk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6">
    <w:name w:val="Заголовок №2_"/>
    <w:basedOn w:val="DefaultParagraphFont"/>
    <w:link w:val="Style5"/>
    <w:rPr>
      <w:b w:val="0"/>
      <w:bCs w:val="0"/>
      <w:i w:val="0"/>
      <w:iCs w:val="0"/>
      <w:strike w:val="0"/>
      <w:smallCaps w:val="0"/>
      <w:sz w:val="27"/>
      <w:szCs w:val="27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3">
    <w:name w:val="Заголовок №1"/>
    <w:basedOn w:val="Normal"/>
    <w:link w:val="CharStyle4"/>
    <w:pPr>
      <w:shd w:val="clear" w:color="auto" w:fill="FFFFFF"/>
      <w:outlineLvl w:val="0"/>
      <w:spacing w:after="240" w:line="0" w:lineRule="exact"/>
    </w:pPr>
    <w:rPr>
      <w:b/>
      <w:bCs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5">
    <w:name w:val="Заголовок №2"/>
    <w:basedOn w:val="Normal"/>
    <w:link w:val="CharStyle6"/>
    <w:pPr>
      <w:shd w:val="clear" w:color="auto" w:fill="FFFFFF"/>
      <w:jc w:val="both"/>
      <w:outlineLvl w:val="1"/>
      <w:ind w:firstLine="700"/>
      <w:spacing w:before="240" w:after="240" w:line="0" w:lineRule="exact"/>
    </w:pPr>
    <w:rPr>
      <w:b/>
      <w:bCs/>
      <w:i/>
      <w:iCs/>
      <w:sz w:val="27"/>
      <w:szCs w:val="27"/>
      <w:rFonts w:ascii="Times New Roman" w:eastAsia="Times New Roman" w:hAnsi="Times New Roman" w:cs="Times New Roman"/>
      <w:spacing w:val="0"/>
    </w:rPr>
  </w:style>
  <w:style w:type="paragraph" w:customStyle="1" w:styleId="Style7">
    <w:name w:val="Основной текст"/>
    <w:basedOn w:val="Normal"/>
    <w:link w:val="CharStyle8"/>
    <w:pPr>
      <w:shd w:val="clear" w:color="auto" w:fill="FFFFFF"/>
      <w:spacing w:line="0" w:lineRule="exact"/>
    </w:pPr>
    <w:rPr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